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82222F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Шаболкин Леонид Валериевич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82222F" w:rsidP="00E64FC3">
            <w:pPr>
              <w:pStyle w:val="2"/>
              <w:snapToGrid w:val="0"/>
              <w:jc w:val="center"/>
            </w:pPr>
            <w:r>
              <w:t>Л.В.Шаболкин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90" w:rsidRDefault="00B46F90" w:rsidP="00CB1542">
      <w:r>
        <w:separator/>
      </w:r>
    </w:p>
  </w:endnote>
  <w:endnote w:type="continuationSeparator" w:id="1">
    <w:p w:rsidR="00B46F90" w:rsidRDefault="00B46F90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90" w:rsidRDefault="00B46F90" w:rsidP="00CB1542">
      <w:r>
        <w:separator/>
      </w:r>
    </w:p>
  </w:footnote>
  <w:footnote w:type="continuationSeparator" w:id="1">
    <w:p w:rsidR="00B46F90" w:rsidRDefault="00B46F90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F207A"/>
    <w:rsid w:val="007E3E9C"/>
    <w:rsid w:val="0082222F"/>
    <w:rsid w:val="008B1467"/>
    <w:rsid w:val="00971331"/>
    <w:rsid w:val="0099343E"/>
    <w:rsid w:val="00A579B8"/>
    <w:rsid w:val="00A644E2"/>
    <w:rsid w:val="00B24BDB"/>
    <w:rsid w:val="00B37C7A"/>
    <w:rsid w:val="00B46F90"/>
    <w:rsid w:val="00BA5F78"/>
    <w:rsid w:val="00C56DE2"/>
    <w:rsid w:val="00CB1542"/>
    <w:rsid w:val="00CD7E50"/>
    <w:rsid w:val="00CE5A6D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2020-10-14T14:42:00Z</dcterms:created>
  <dcterms:modified xsi:type="dcterms:W3CDTF">2020-10-14T14:42:00Z</dcterms:modified>
</cp:coreProperties>
</file>