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5A4D" w:rsidRPr="00D55A4D" w:rsidRDefault="00D55A4D" w:rsidP="00D55A4D">
      <w:pPr>
        <w:pageBreakBefore/>
        <w:tabs>
          <w:tab w:val="left" w:pos="5985"/>
        </w:tabs>
        <w:jc w:val="right"/>
        <w:rPr>
          <w:sz w:val="28"/>
          <w:szCs w:val="28"/>
        </w:rPr>
      </w:pPr>
      <w:r w:rsidRPr="00D55A4D">
        <w:rPr>
          <w:sz w:val="28"/>
          <w:szCs w:val="28"/>
        </w:rPr>
        <w:t>Приложение 5</w:t>
      </w:r>
    </w:p>
    <w:p w:rsidR="00D55A4D" w:rsidRPr="00DE6617" w:rsidRDefault="00D55A4D" w:rsidP="00D55A4D">
      <w:pPr>
        <w:tabs>
          <w:tab w:val="left" w:pos="1185"/>
        </w:tabs>
        <w:rPr>
          <w:sz w:val="28"/>
          <w:szCs w:val="28"/>
        </w:rPr>
      </w:pPr>
      <w:r w:rsidRPr="00DE6617">
        <w:rPr>
          <w:sz w:val="28"/>
          <w:szCs w:val="28"/>
        </w:rPr>
        <w:tab/>
      </w:r>
    </w:p>
    <w:p w:rsidR="00D55A4D" w:rsidRPr="00DE6617" w:rsidRDefault="00D55A4D" w:rsidP="00D55A4D">
      <w:pPr>
        <w:jc w:val="center"/>
        <w:rPr>
          <w:b/>
          <w:sz w:val="28"/>
          <w:szCs w:val="28"/>
        </w:rPr>
      </w:pPr>
      <w:r w:rsidRPr="00DE6617">
        <w:rPr>
          <w:sz w:val="28"/>
          <w:szCs w:val="28"/>
        </w:rPr>
        <w:tab/>
      </w:r>
      <w:r w:rsidRPr="00DE6617">
        <w:rPr>
          <w:b/>
          <w:sz w:val="28"/>
          <w:szCs w:val="28"/>
        </w:rPr>
        <w:t xml:space="preserve">ИНСТРУКЦИЯ </w:t>
      </w:r>
    </w:p>
    <w:p w:rsidR="00D55A4D" w:rsidRPr="00DE6617" w:rsidRDefault="00D55A4D" w:rsidP="00D55A4D">
      <w:pPr>
        <w:jc w:val="center"/>
        <w:rPr>
          <w:b/>
          <w:sz w:val="28"/>
          <w:szCs w:val="28"/>
        </w:rPr>
      </w:pPr>
      <w:r w:rsidRPr="00DE6617">
        <w:rPr>
          <w:b/>
          <w:sz w:val="28"/>
          <w:szCs w:val="28"/>
        </w:rPr>
        <w:t>ДЛЯ УЧАСТНИКОВ РАЗМЕЩЕНИЯ ЗАКАЗА</w:t>
      </w:r>
    </w:p>
    <w:p w:rsidR="00D55A4D" w:rsidRPr="00DE6617" w:rsidRDefault="00D55A4D" w:rsidP="00D55A4D">
      <w:pPr>
        <w:jc w:val="center"/>
        <w:rPr>
          <w:b/>
          <w:sz w:val="28"/>
          <w:szCs w:val="28"/>
        </w:rPr>
      </w:pPr>
    </w:p>
    <w:p w:rsidR="00D55A4D" w:rsidRPr="00DE6617" w:rsidRDefault="00D55A4D" w:rsidP="00D55A4D">
      <w:pPr>
        <w:numPr>
          <w:ilvl w:val="0"/>
          <w:numId w:val="1"/>
        </w:numPr>
        <w:suppressAutoHyphens/>
        <w:jc w:val="center"/>
        <w:rPr>
          <w:b/>
          <w:sz w:val="28"/>
          <w:szCs w:val="28"/>
        </w:rPr>
      </w:pPr>
      <w:r w:rsidRPr="00DE6617">
        <w:rPr>
          <w:b/>
          <w:sz w:val="28"/>
          <w:szCs w:val="28"/>
        </w:rPr>
        <w:t>Требования к содержанию и составу заявки на участие в открытом аукционе в электронной форме  и инструкция по ее заполнению</w:t>
      </w:r>
    </w:p>
    <w:p w:rsidR="00D55A4D" w:rsidRPr="00DE6617" w:rsidRDefault="00D55A4D" w:rsidP="00D55A4D">
      <w:pPr>
        <w:pStyle w:val="2"/>
        <w:spacing w:after="0" w:line="240" w:lineRule="auto"/>
        <w:ind w:left="720"/>
        <w:jc w:val="both"/>
        <w:rPr>
          <w:bCs/>
        </w:rPr>
      </w:pPr>
    </w:p>
    <w:p w:rsidR="00D55A4D" w:rsidRPr="00DE6617" w:rsidRDefault="00D55A4D" w:rsidP="00D55A4D">
      <w:pPr>
        <w:pStyle w:val="2"/>
        <w:spacing w:line="240" w:lineRule="auto"/>
        <w:ind w:firstLine="700"/>
        <w:jc w:val="both"/>
      </w:pPr>
      <w:r w:rsidRPr="00DE6617">
        <w:t>Для участия в открытом аукционе в электронной форме участник размещения заказа, получивший аккредитацию на электронной площадке, подает заявку на участие в открытом аукционе в электронной форме.</w:t>
      </w:r>
    </w:p>
    <w:p w:rsidR="00D55A4D" w:rsidRPr="00DE6617" w:rsidRDefault="00D55A4D" w:rsidP="00D55A4D">
      <w:pPr>
        <w:ind w:firstLine="630"/>
        <w:jc w:val="both"/>
        <w:rPr>
          <w:sz w:val="28"/>
          <w:szCs w:val="28"/>
        </w:rPr>
      </w:pPr>
      <w:r w:rsidRPr="00DE6617">
        <w:rPr>
          <w:sz w:val="28"/>
          <w:szCs w:val="28"/>
        </w:rPr>
        <w:t>Заявка на участие в открытом аукционе в электронной форме  подается  в форме электронного документа и должна быть подписана в соответствии с нормативными правов</w:t>
      </w:r>
      <w:r>
        <w:rPr>
          <w:sz w:val="28"/>
          <w:szCs w:val="28"/>
        </w:rPr>
        <w:t>ыми актами Российской Федерации, в том числе Федеральным законом от 10.01.2002 г. №1-ФЗ «Об электронной цифровой подписи»</w:t>
      </w:r>
    </w:p>
    <w:p w:rsidR="00D55A4D" w:rsidRPr="00DE6617" w:rsidRDefault="00D55A4D" w:rsidP="00D55A4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6617">
        <w:rPr>
          <w:rFonts w:ascii="Times New Roman" w:hAnsi="Times New Roman" w:cs="Times New Roman"/>
          <w:sz w:val="28"/>
          <w:szCs w:val="28"/>
        </w:rPr>
        <w:t>Заявка на участие в открытом аукционе в электронной форме состоит из двух частей.</w:t>
      </w:r>
    </w:p>
    <w:p w:rsidR="00D55A4D" w:rsidRPr="00DE6617" w:rsidRDefault="00D55A4D" w:rsidP="00D55A4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6617">
        <w:rPr>
          <w:rFonts w:ascii="Times New Roman" w:hAnsi="Times New Roman" w:cs="Times New Roman"/>
          <w:b/>
          <w:sz w:val="28"/>
          <w:szCs w:val="28"/>
          <w:u w:val="single"/>
        </w:rPr>
        <w:t xml:space="preserve"> Первая часть заявки</w:t>
      </w:r>
      <w:r w:rsidRPr="00DE6617">
        <w:rPr>
          <w:rFonts w:ascii="Times New Roman" w:hAnsi="Times New Roman" w:cs="Times New Roman"/>
          <w:sz w:val="28"/>
          <w:szCs w:val="28"/>
        </w:rPr>
        <w:t xml:space="preserve"> на участие в открытом аукционе в электронной форме должна содержать указанные в одном из следующих подпунктов сведения:</w:t>
      </w:r>
    </w:p>
    <w:p w:rsidR="00D55A4D" w:rsidRPr="00DE6617" w:rsidRDefault="00D55A4D" w:rsidP="00D55A4D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DE6617">
        <w:rPr>
          <w:sz w:val="28"/>
          <w:szCs w:val="28"/>
        </w:rPr>
        <w:t xml:space="preserve">а) согласие участника размещения заказа на поставку товара в случае, если участник размещения заказа предлагает для поставки товар, </w:t>
      </w:r>
      <w:proofErr w:type="gramStart"/>
      <w:r w:rsidRPr="00DE6617">
        <w:rPr>
          <w:sz w:val="28"/>
          <w:szCs w:val="28"/>
        </w:rPr>
        <w:t>указание</w:t>
      </w:r>
      <w:proofErr w:type="gramEnd"/>
      <w:r w:rsidRPr="00DE6617">
        <w:rPr>
          <w:sz w:val="28"/>
          <w:szCs w:val="28"/>
        </w:rPr>
        <w:t xml:space="preserve"> на товарный знак которого содержится в документации об открытом аукционе в электронной форме, или указание на товарный знак (его словесное обозначение) предлагаемого для поставки товара и конкретные показатели этого товара, соответствующие значениям эквивалентности, установленным документацией об открытом аукционе в электронной форме, если участник размещения заказа предлагает для поставки товар, который является эквивалентным товару, указанному в документации об открытом аукционе в электронной форме, при условии содержания в документации об открытом аукционе в электронной форме указания на товарный знак, а также требования </w:t>
      </w:r>
      <w:proofErr w:type="gramStart"/>
      <w:r w:rsidRPr="00DE6617">
        <w:rPr>
          <w:sz w:val="28"/>
          <w:szCs w:val="28"/>
        </w:rPr>
        <w:t>о необходимости указания в заявке на участие в открытом аукционе в электронной форме</w:t>
      </w:r>
      <w:proofErr w:type="gramEnd"/>
      <w:r w:rsidRPr="00DE6617">
        <w:rPr>
          <w:sz w:val="28"/>
          <w:szCs w:val="28"/>
        </w:rPr>
        <w:t xml:space="preserve"> на товарный знак;</w:t>
      </w:r>
    </w:p>
    <w:p w:rsidR="00D55A4D" w:rsidRPr="00DE6617" w:rsidRDefault="00D55A4D" w:rsidP="00D55A4D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proofErr w:type="gramStart"/>
      <w:r w:rsidRPr="00DE6617">
        <w:rPr>
          <w:sz w:val="28"/>
          <w:szCs w:val="28"/>
        </w:rPr>
        <w:t>б) конкретные показатели, соответствующие значениям, установленным документацией об открытом аукционе в электронной форме, и указание на товарный знак (его словесное обозначение) (при его наличии) предлагаемого для поставки товара при условии отсутствия в документации об открытом аукционе в электронной форме указания на товарный знак;</w:t>
      </w:r>
      <w:proofErr w:type="gramEnd"/>
    </w:p>
    <w:p w:rsidR="00D55A4D" w:rsidRPr="00DE6617" w:rsidRDefault="00D55A4D" w:rsidP="00D55A4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6617">
        <w:rPr>
          <w:rFonts w:ascii="Times New Roman" w:hAnsi="Times New Roman" w:cs="Times New Roman"/>
          <w:b/>
          <w:sz w:val="28"/>
          <w:szCs w:val="28"/>
          <w:u w:val="single"/>
        </w:rPr>
        <w:t>Вторая часть заявки</w:t>
      </w:r>
      <w:r w:rsidRPr="00DE6617">
        <w:rPr>
          <w:rFonts w:ascii="Times New Roman" w:hAnsi="Times New Roman" w:cs="Times New Roman"/>
          <w:sz w:val="28"/>
          <w:szCs w:val="28"/>
        </w:rPr>
        <w:t xml:space="preserve"> на участие в открытом аукционе в электронной форме должна содержать следующие документы и сведения:</w:t>
      </w:r>
    </w:p>
    <w:p w:rsidR="00D55A4D" w:rsidRPr="00DE6617" w:rsidRDefault="00D55A4D" w:rsidP="00D55A4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E6617">
        <w:rPr>
          <w:rFonts w:ascii="Times New Roman" w:hAnsi="Times New Roman" w:cs="Times New Roman"/>
          <w:sz w:val="28"/>
          <w:szCs w:val="28"/>
        </w:rPr>
        <w:t xml:space="preserve">1) фирменное наименование (наименование), сведения об организационно-правовой форме, о месте нахождения, почтовый адрес (для юридического лица), фамилию, имя, отчество, паспортные данные, сведения </w:t>
      </w:r>
      <w:r w:rsidRPr="00DE6617">
        <w:rPr>
          <w:rFonts w:ascii="Times New Roman" w:hAnsi="Times New Roman" w:cs="Times New Roman"/>
          <w:sz w:val="28"/>
          <w:szCs w:val="28"/>
        </w:rPr>
        <w:lastRenderedPageBreak/>
        <w:t>о месте жительства (для физического лица), номер контактного телефона, идентификационный номер налогоплательщика;</w:t>
      </w:r>
      <w:proofErr w:type="gramEnd"/>
    </w:p>
    <w:p w:rsidR="00D55A4D" w:rsidRPr="00DE6617" w:rsidRDefault="00D55A4D" w:rsidP="00D55A4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E6617">
        <w:rPr>
          <w:rFonts w:ascii="Times New Roman" w:hAnsi="Times New Roman" w:cs="Times New Roman"/>
          <w:sz w:val="28"/>
          <w:szCs w:val="28"/>
        </w:rPr>
        <w:t>2) решение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 и (или) учредительными документами юридического лица и если для участника размещения заказа поставки товаров, выполнение работ, оказание услуг, являющихся предметом контракта, или внесение денежных средств в качестве обеспечения заявки на</w:t>
      </w:r>
      <w:proofErr w:type="gramEnd"/>
      <w:r w:rsidRPr="00DE6617">
        <w:rPr>
          <w:rFonts w:ascii="Times New Roman" w:hAnsi="Times New Roman" w:cs="Times New Roman"/>
          <w:sz w:val="28"/>
          <w:szCs w:val="28"/>
        </w:rPr>
        <w:t xml:space="preserve"> участие в открытом аукционе, обеспечения исполнения контракта являются крупной сделкой. Предоставление указанного решения не требуется в случае, если начальная (максимальная) цена контракта не превышает максимальную сумму сделки, предусмотренную решением об одобрении или о совершении сделок, предоставляемым для аккредитации участника размещения заказа на электронной площадке.</w:t>
      </w:r>
    </w:p>
    <w:p w:rsidR="00D55A4D" w:rsidRPr="00DE6617" w:rsidRDefault="00D55A4D" w:rsidP="00D55A4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E6617">
        <w:rPr>
          <w:rFonts w:ascii="Times New Roman" w:hAnsi="Times New Roman" w:cs="Times New Roman"/>
          <w:sz w:val="28"/>
          <w:szCs w:val="28"/>
        </w:rPr>
        <w:t>Участник размещения заказа вправе подать заявку на участие в открытом аукционе в электронной форме в любой момент с момента размещения на официальном сайте извещения о проведении открытого аукциона в электронной форме до предусмотренных документацией об открытом аукционе в электронной форме даты и времени окончания срока подачи заявок на участие в открытом аукционе.</w:t>
      </w:r>
      <w:proofErr w:type="gramEnd"/>
    </w:p>
    <w:p w:rsidR="00D55A4D" w:rsidRDefault="00D55A4D" w:rsidP="00D55A4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6617">
        <w:rPr>
          <w:rFonts w:ascii="Times New Roman" w:hAnsi="Times New Roman" w:cs="Times New Roman"/>
          <w:sz w:val="28"/>
          <w:szCs w:val="28"/>
        </w:rPr>
        <w:t>Заявка на участие в открытом аукционе в электронной форме направляется участником размещения заказа оператору электронной площадки ЗАО «</w:t>
      </w:r>
      <w:proofErr w:type="spellStart"/>
      <w:r w:rsidRPr="00DE6617">
        <w:rPr>
          <w:rFonts w:ascii="Times New Roman" w:hAnsi="Times New Roman" w:cs="Times New Roman"/>
          <w:sz w:val="28"/>
          <w:szCs w:val="28"/>
        </w:rPr>
        <w:t>Сбербанк-АСТ</w:t>
      </w:r>
      <w:proofErr w:type="spellEnd"/>
      <w:r w:rsidRPr="00DE6617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Pr="00DE6617">
        <w:rPr>
          <w:rFonts w:ascii="Times New Roman" w:hAnsi="Times New Roman" w:cs="Times New Roman"/>
          <w:sz w:val="28"/>
          <w:szCs w:val="28"/>
        </w:rPr>
        <w:t>www.sberbank-ast.ru</w:t>
      </w:r>
      <w:proofErr w:type="spellEnd"/>
      <w:r w:rsidRPr="00DE661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E6617">
        <w:rPr>
          <w:rFonts w:ascii="Times New Roman" w:hAnsi="Times New Roman" w:cs="Times New Roman"/>
          <w:sz w:val="28"/>
          <w:szCs w:val="28"/>
        </w:rPr>
        <w:t xml:space="preserve"> в форме двух электронных документов, содержащих первую и вторую части заявки. Указанные электронные документы подаются одновременно. </w:t>
      </w:r>
    </w:p>
    <w:p w:rsidR="00D55A4D" w:rsidRPr="00DE6617" w:rsidRDefault="00D55A4D" w:rsidP="00D55A4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55A4D" w:rsidRPr="00DE6617" w:rsidRDefault="00D55A4D" w:rsidP="00D55A4D">
      <w:pPr>
        <w:ind w:firstLine="720"/>
        <w:jc w:val="center"/>
        <w:rPr>
          <w:b/>
          <w:sz w:val="28"/>
          <w:szCs w:val="28"/>
        </w:rPr>
      </w:pPr>
      <w:r w:rsidRPr="00DE6617">
        <w:rPr>
          <w:b/>
          <w:sz w:val="28"/>
          <w:szCs w:val="28"/>
        </w:rPr>
        <w:t>Инструкция по заполнению</w:t>
      </w:r>
    </w:p>
    <w:p w:rsidR="00D55A4D" w:rsidRDefault="00D55A4D" w:rsidP="00D55A4D">
      <w:pPr>
        <w:ind w:firstLine="720"/>
        <w:jc w:val="center"/>
        <w:rPr>
          <w:b/>
          <w:sz w:val="28"/>
          <w:szCs w:val="28"/>
        </w:rPr>
      </w:pPr>
      <w:r w:rsidRPr="00DE6617">
        <w:rPr>
          <w:b/>
          <w:sz w:val="28"/>
          <w:szCs w:val="28"/>
        </w:rPr>
        <w:t>заявки участником размещения заказа</w:t>
      </w:r>
    </w:p>
    <w:p w:rsidR="00D55A4D" w:rsidRPr="00DE6617" w:rsidRDefault="00D55A4D" w:rsidP="00D55A4D">
      <w:pPr>
        <w:ind w:firstLine="720"/>
        <w:jc w:val="center"/>
        <w:rPr>
          <w:b/>
          <w:sz w:val="28"/>
          <w:szCs w:val="28"/>
        </w:rPr>
      </w:pPr>
    </w:p>
    <w:p w:rsidR="00D55A4D" w:rsidRPr="00DE6617" w:rsidRDefault="00D55A4D" w:rsidP="00D55A4D">
      <w:pPr>
        <w:ind w:firstLine="720"/>
        <w:jc w:val="both"/>
        <w:rPr>
          <w:sz w:val="28"/>
          <w:szCs w:val="28"/>
        </w:rPr>
      </w:pPr>
      <w:r w:rsidRPr="00DE6617">
        <w:rPr>
          <w:sz w:val="28"/>
          <w:szCs w:val="28"/>
        </w:rPr>
        <w:t xml:space="preserve">Участник размещения заказа заполняет заявку в соответствии с порядком, определенном в разделе «Поставщикам» (информация для поставщиков)  на сайте  электронной торговой площадки </w:t>
      </w:r>
      <w:proofErr w:type="spellStart"/>
      <w:r w:rsidRPr="00DE6617">
        <w:rPr>
          <w:rStyle w:val="a3"/>
          <w:rFonts w:eastAsia="Arial Unicode MS"/>
          <w:sz w:val="28"/>
          <w:szCs w:val="28"/>
        </w:rPr>
        <w:t>www</w:t>
      </w:r>
      <w:proofErr w:type="spellEnd"/>
      <w:r w:rsidRPr="00DE6617">
        <w:rPr>
          <w:rStyle w:val="a3"/>
          <w:rFonts w:eastAsia="Arial Unicode MS"/>
          <w:sz w:val="28"/>
          <w:szCs w:val="28"/>
        </w:rPr>
        <w:t>.</w:t>
      </w:r>
      <w:proofErr w:type="spellStart"/>
      <w:r w:rsidRPr="00DE6617">
        <w:rPr>
          <w:rStyle w:val="a3"/>
          <w:rFonts w:eastAsia="Arial Unicode MS"/>
          <w:sz w:val="28"/>
          <w:szCs w:val="28"/>
          <w:lang w:val="en-US"/>
        </w:rPr>
        <w:t>sberbank</w:t>
      </w:r>
      <w:proofErr w:type="spellEnd"/>
      <w:r w:rsidRPr="00DE6617">
        <w:rPr>
          <w:rStyle w:val="a3"/>
          <w:rFonts w:eastAsia="Arial Unicode MS"/>
          <w:sz w:val="28"/>
          <w:szCs w:val="28"/>
        </w:rPr>
        <w:t>-</w:t>
      </w:r>
      <w:proofErr w:type="spellStart"/>
      <w:r w:rsidRPr="00DE6617">
        <w:rPr>
          <w:rStyle w:val="a3"/>
          <w:rFonts w:eastAsia="Arial Unicode MS"/>
          <w:sz w:val="28"/>
          <w:szCs w:val="28"/>
          <w:lang w:val="en-US"/>
        </w:rPr>
        <w:t>ast</w:t>
      </w:r>
      <w:proofErr w:type="spellEnd"/>
      <w:r w:rsidRPr="00DE6617">
        <w:rPr>
          <w:rStyle w:val="a3"/>
          <w:rFonts w:eastAsia="Arial Unicode MS"/>
          <w:sz w:val="28"/>
          <w:szCs w:val="28"/>
        </w:rPr>
        <w:t>.</w:t>
      </w:r>
      <w:proofErr w:type="spellStart"/>
      <w:r w:rsidRPr="00DE6617">
        <w:rPr>
          <w:rStyle w:val="a3"/>
          <w:rFonts w:eastAsia="Arial Unicode MS"/>
          <w:sz w:val="28"/>
          <w:szCs w:val="28"/>
        </w:rPr>
        <w:t>ru</w:t>
      </w:r>
      <w:proofErr w:type="spellEnd"/>
      <w:r w:rsidRPr="00DE6617">
        <w:rPr>
          <w:rStyle w:val="10"/>
          <w:rFonts w:eastAsia="Arial Unicode MS"/>
          <w:sz w:val="28"/>
          <w:szCs w:val="28"/>
        </w:rPr>
        <w:t xml:space="preserve"> </w:t>
      </w:r>
      <w:r w:rsidRPr="00DE6617">
        <w:rPr>
          <w:sz w:val="28"/>
          <w:szCs w:val="28"/>
        </w:rPr>
        <w:t>и разделом 1 настоящей документации об открытом аукционе в электронной форме.</w:t>
      </w:r>
    </w:p>
    <w:p w:rsidR="00D55A4D" w:rsidRPr="00DE6617" w:rsidRDefault="00D55A4D" w:rsidP="00D55A4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6617">
        <w:rPr>
          <w:rFonts w:ascii="Times New Roman" w:hAnsi="Times New Roman" w:cs="Times New Roman"/>
          <w:sz w:val="28"/>
          <w:szCs w:val="28"/>
        </w:rPr>
        <w:t xml:space="preserve">  Документы и сведения, направляемые в форме электронных документов участником размещения заказа на электронную площадку, должны быть подписаны электронной цифровой подписью лица (ЭЦП), имеющего право действовать от имени такого участника размещения заказа.</w:t>
      </w:r>
    </w:p>
    <w:p w:rsidR="00D55A4D" w:rsidRPr="00DE6617" w:rsidRDefault="00D55A4D" w:rsidP="00D55A4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6617">
        <w:rPr>
          <w:rFonts w:ascii="Times New Roman" w:hAnsi="Times New Roman" w:cs="Times New Roman"/>
          <w:sz w:val="28"/>
          <w:szCs w:val="28"/>
        </w:rPr>
        <w:t xml:space="preserve"> Заявка, подготовленная участником размещения заказа, а также все документы и сведения, связанные с этой заявкой, должны быть написаны на русском языке. Документация, представленная участником, может быть написана на другом языке при условии, что к ней будет прилагаться точный перевод соответствующих разделов на русском языке. </w:t>
      </w:r>
    </w:p>
    <w:p w:rsidR="00D55A4D" w:rsidRPr="00DE6617" w:rsidRDefault="00D55A4D" w:rsidP="00D55A4D">
      <w:pPr>
        <w:jc w:val="center"/>
        <w:rPr>
          <w:b/>
          <w:sz w:val="28"/>
          <w:szCs w:val="28"/>
          <w:u w:val="single"/>
        </w:rPr>
      </w:pPr>
    </w:p>
    <w:p w:rsidR="00D55A4D" w:rsidRDefault="00D55A4D" w:rsidP="00D55A4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2. </w:t>
      </w:r>
      <w:r w:rsidRPr="00DE6617">
        <w:rPr>
          <w:b/>
          <w:sz w:val="28"/>
          <w:szCs w:val="28"/>
        </w:rPr>
        <w:t>Размер обеспечения за</w:t>
      </w:r>
      <w:r>
        <w:rPr>
          <w:b/>
          <w:sz w:val="28"/>
          <w:szCs w:val="28"/>
        </w:rPr>
        <w:t>явки на участие в открытом аукционе в электронной форме</w:t>
      </w:r>
    </w:p>
    <w:p w:rsidR="00D55A4D" w:rsidRPr="00DE6617" w:rsidRDefault="00D55A4D" w:rsidP="00D55A4D">
      <w:pPr>
        <w:jc w:val="center"/>
        <w:rPr>
          <w:b/>
          <w:sz w:val="28"/>
          <w:szCs w:val="28"/>
        </w:rPr>
      </w:pPr>
    </w:p>
    <w:p w:rsidR="00D55A4D" w:rsidRPr="00DE6617" w:rsidRDefault="00D55A4D" w:rsidP="00D55A4D">
      <w:pPr>
        <w:pStyle w:val="210"/>
        <w:ind w:firstLine="454"/>
        <w:rPr>
          <w:rFonts w:cs="Times New Roman"/>
          <w:sz w:val="28"/>
          <w:szCs w:val="28"/>
        </w:rPr>
      </w:pPr>
      <w:r w:rsidRPr="00DE6617">
        <w:rPr>
          <w:rFonts w:cs="Times New Roman"/>
          <w:sz w:val="28"/>
          <w:szCs w:val="28"/>
        </w:rPr>
        <w:t xml:space="preserve">Установлено требование  обеспечения  заявки  на  участие  в  открытом      аукционе в электронной форме,  размер  которого </w:t>
      </w:r>
      <w:r>
        <w:rPr>
          <w:rFonts w:cs="Times New Roman"/>
          <w:sz w:val="28"/>
          <w:szCs w:val="28"/>
        </w:rPr>
        <w:t xml:space="preserve">составляет </w:t>
      </w:r>
      <w:r w:rsidR="001F0C01">
        <w:rPr>
          <w:rFonts w:cs="Times New Roman"/>
          <w:sz w:val="28"/>
          <w:szCs w:val="28"/>
        </w:rPr>
        <w:t>___________</w:t>
      </w:r>
      <w:r>
        <w:rPr>
          <w:rFonts w:cs="Times New Roman"/>
          <w:sz w:val="28"/>
          <w:szCs w:val="28"/>
        </w:rPr>
        <w:t xml:space="preserve"> руб. – 2% от начальной (максимальной) цены контракта.</w:t>
      </w:r>
    </w:p>
    <w:p w:rsidR="00D55A4D" w:rsidRPr="00DE6617" w:rsidRDefault="00D55A4D" w:rsidP="00D55A4D">
      <w:pPr>
        <w:ind w:firstLine="709"/>
        <w:jc w:val="both"/>
        <w:rPr>
          <w:sz w:val="28"/>
          <w:szCs w:val="28"/>
        </w:rPr>
      </w:pPr>
      <w:r w:rsidRPr="00DE6617">
        <w:rPr>
          <w:sz w:val="28"/>
          <w:szCs w:val="28"/>
        </w:rPr>
        <w:t xml:space="preserve">Требование обеспечения  заявки  на  участие  в  открытом  аукционе в электронной форме в  равной мере распространяется на всех участников размещения заказа. </w:t>
      </w:r>
    </w:p>
    <w:p w:rsidR="00D55A4D" w:rsidRPr="00DE6617" w:rsidRDefault="00D55A4D" w:rsidP="004F3405">
      <w:pPr>
        <w:shd w:val="clear" w:color="auto" w:fill="FFFFFF"/>
        <w:tabs>
          <w:tab w:val="left" w:leader="underscore" w:pos="8395"/>
        </w:tabs>
        <w:rPr>
          <w:b/>
          <w:sz w:val="28"/>
          <w:szCs w:val="28"/>
        </w:rPr>
      </w:pPr>
    </w:p>
    <w:p w:rsidR="00D55A4D" w:rsidRDefault="00D55A4D" w:rsidP="00D55A4D">
      <w:pPr>
        <w:ind w:firstLine="709"/>
        <w:jc w:val="center"/>
        <w:rPr>
          <w:b/>
          <w:sz w:val="28"/>
          <w:szCs w:val="28"/>
        </w:rPr>
      </w:pPr>
      <w:r w:rsidRPr="00DE6617">
        <w:rPr>
          <w:b/>
          <w:sz w:val="28"/>
          <w:szCs w:val="28"/>
        </w:rPr>
        <w:t>3. Дата и время окончания срока подачи заявок на участие в открытом аукционе в электронной форме</w:t>
      </w:r>
    </w:p>
    <w:p w:rsidR="00D55A4D" w:rsidRPr="00DE6617" w:rsidRDefault="00D55A4D" w:rsidP="00D55A4D">
      <w:pPr>
        <w:ind w:firstLine="709"/>
        <w:jc w:val="center"/>
        <w:rPr>
          <w:b/>
          <w:sz w:val="28"/>
          <w:szCs w:val="28"/>
        </w:rPr>
      </w:pPr>
    </w:p>
    <w:p w:rsidR="00D55A4D" w:rsidRPr="00DE6617" w:rsidRDefault="00D55A4D" w:rsidP="00D55A4D">
      <w:pPr>
        <w:ind w:firstLine="709"/>
        <w:jc w:val="both"/>
        <w:rPr>
          <w:sz w:val="28"/>
          <w:szCs w:val="28"/>
        </w:rPr>
      </w:pPr>
      <w:r w:rsidRPr="00DE6617">
        <w:rPr>
          <w:sz w:val="28"/>
          <w:szCs w:val="28"/>
        </w:rPr>
        <w:t xml:space="preserve">Дата и время окончания срока подачи заявок на участие в открытом аукционе в электронной форме  указаны в п. 16 информационной карты документации об открытом аукционе в электронной форме. </w:t>
      </w:r>
    </w:p>
    <w:p w:rsidR="00D55A4D" w:rsidRPr="00DE6617" w:rsidRDefault="00D55A4D" w:rsidP="00D55A4D">
      <w:pPr>
        <w:ind w:firstLine="709"/>
        <w:jc w:val="both"/>
        <w:rPr>
          <w:sz w:val="28"/>
          <w:szCs w:val="28"/>
        </w:rPr>
      </w:pPr>
    </w:p>
    <w:p w:rsidR="00D55A4D" w:rsidRDefault="00D55A4D" w:rsidP="00D55A4D">
      <w:pPr>
        <w:ind w:firstLine="709"/>
        <w:jc w:val="center"/>
        <w:rPr>
          <w:b/>
          <w:sz w:val="28"/>
          <w:szCs w:val="28"/>
        </w:rPr>
      </w:pPr>
      <w:r w:rsidRPr="00DE6617">
        <w:rPr>
          <w:b/>
          <w:sz w:val="28"/>
          <w:szCs w:val="28"/>
        </w:rPr>
        <w:t xml:space="preserve">4. Дата </w:t>
      </w:r>
      <w:proofErr w:type="gramStart"/>
      <w:r w:rsidRPr="00DE6617">
        <w:rPr>
          <w:b/>
          <w:sz w:val="28"/>
          <w:szCs w:val="28"/>
        </w:rPr>
        <w:t xml:space="preserve">окончания срока рассмотрения первых частей </w:t>
      </w:r>
      <w:r w:rsidR="004F3405">
        <w:rPr>
          <w:b/>
          <w:sz w:val="28"/>
          <w:szCs w:val="28"/>
        </w:rPr>
        <w:t>заявок</w:t>
      </w:r>
      <w:proofErr w:type="gramEnd"/>
      <w:r w:rsidR="004F3405">
        <w:rPr>
          <w:b/>
          <w:sz w:val="28"/>
          <w:szCs w:val="28"/>
        </w:rPr>
        <w:t xml:space="preserve"> на участие в открытом</w:t>
      </w:r>
      <w:r w:rsidRPr="00DE6617">
        <w:rPr>
          <w:b/>
          <w:sz w:val="28"/>
          <w:szCs w:val="28"/>
        </w:rPr>
        <w:t xml:space="preserve"> аукционе в электронной форме</w:t>
      </w:r>
    </w:p>
    <w:p w:rsidR="004F3405" w:rsidRPr="00DE6617" w:rsidRDefault="004F3405" w:rsidP="00D55A4D">
      <w:pPr>
        <w:ind w:firstLine="709"/>
        <w:jc w:val="center"/>
        <w:rPr>
          <w:b/>
          <w:sz w:val="28"/>
          <w:szCs w:val="28"/>
        </w:rPr>
      </w:pPr>
    </w:p>
    <w:p w:rsidR="00D55A4D" w:rsidRPr="00DE6617" w:rsidRDefault="00D55A4D" w:rsidP="00D55A4D">
      <w:pPr>
        <w:ind w:firstLine="540"/>
        <w:jc w:val="both"/>
        <w:rPr>
          <w:sz w:val="28"/>
          <w:szCs w:val="28"/>
        </w:rPr>
      </w:pPr>
      <w:r w:rsidRPr="00DE6617">
        <w:rPr>
          <w:sz w:val="28"/>
          <w:szCs w:val="28"/>
        </w:rPr>
        <w:t xml:space="preserve">Дата </w:t>
      </w:r>
      <w:proofErr w:type="gramStart"/>
      <w:r w:rsidRPr="00DE6617">
        <w:rPr>
          <w:sz w:val="28"/>
          <w:szCs w:val="28"/>
        </w:rPr>
        <w:t>окончания срока рассмотрения первых частей заявок</w:t>
      </w:r>
      <w:proofErr w:type="gramEnd"/>
      <w:r w:rsidRPr="00DE6617">
        <w:rPr>
          <w:sz w:val="28"/>
          <w:szCs w:val="28"/>
        </w:rPr>
        <w:t xml:space="preserve"> на участие  в   открытом  аукционе в электронной форме указана в п. 17 информационной карты документации об открытом аукционе в электронной форме.</w:t>
      </w:r>
    </w:p>
    <w:p w:rsidR="00D55A4D" w:rsidRPr="00DE6617" w:rsidRDefault="00D55A4D" w:rsidP="00D55A4D">
      <w:pPr>
        <w:rPr>
          <w:b/>
          <w:sz w:val="28"/>
          <w:szCs w:val="28"/>
        </w:rPr>
      </w:pPr>
    </w:p>
    <w:p w:rsidR="00D55A4D" w:rsidRDefault="00D55A4D" w:rsidP="00D55A4D">
      <w:pPr>
        <w:jc w:val="center"/>
        <w:rPr>
          <w:b/>
          <w:sz w:val="28"/>
          <w:szCs w:val="28"/>
        </w:rPr>
      </w:pPr>
      <w:r w:rsidRPr="00DE6617">
        <w:rPr>
          <w:b/>
          <w:sz w:val="28"/>
          <w:szCs w:val="28"/>
        </w:rPr>
        <w:t>5. Дата  проведения  открытого  аукциона  в  электронной    форме</w:t>
      </w:r>
    </w:p>
    <w:p w:rsidR="004F3405" w:rsidRPr="00DE6617" w:rsidRDefault="004F3405" w:rsidP="00D55A4D">
      <w:pPr>
        <w:jc w:val="center"/>
        <w:rPr>
          <w:b/>
          <w:sz w:val="28"/>
          <w:szCs w:val="28"/>
        </w:rPr>
      </w:pPr>
    </w:p>
    <w:p w:rsidR="00D55A4D" w:rsidRPr="00DE6617" w:rsidRDefault="00D55A4D" w:rsidP="00D55A4D">
      <w:pPr>
        <w:ind w:firstLine="540"/>
        <w:jc w:val="both"/>
        <w:rPr>
          <w:sz w:val="28"/>
          <w:szCs w:val="28"/>
        </w:rPr>
      </w:pPr>
      <w:r w:rsidRPr="00DE6617">
        <w:rPr>
          <w:bCs/>
          <w:sz w:val="28"/>
          <w:szCs w:val="28"/>
        </w:rPr>
        <w:t>Открытый аукцион в электронной форме проводится на</w:t>
      </w:r>
      <w:r w:rsidRPr="00DE6617">
        <w:rPr>
          <w:sz w:val="28"/>
          <w:szCs w:val="28"/>
        </w:rPr>
        <w:t xml:space="preserve"> электронной торговой площадке </w:t>
      </w:r>
      <w:proofErr w:type="spellStart"/>
      <w:r w:rsidRPr="00DE6617">
        <w:rPr>
          <w:rStyle w:val="a3"/>
          <w:rFonts w:eastAsia="Arial Unicode MS"/>
          <w:sz w:val="28"/>
          <w:szCs w:val="28"/>
        </w:rPr>
        <w:t>www</w:t>
      </w:r>
      <w:proofErr w:type="spellEnd"/>
      <w:r w:rsidRPr="00DE6617">
        <w:rPr>
          <w:rStyle w:val="a3"/>
          <w:rFonts w:eastAsia="Arial Unicode MS"/>
          <w:sz w:val="28"/>
          <w:szCs w:val="28"/>
        </w:rPr>
        <w:t>.</w:t>
      </w:r>
      <w:proofErr w:type="spellStart"/>
      <w:r w:rsidRPr="00DE6617">
        <w:rPr>
          <w:rStyle w:val="a3"/>
          <w:rFonts w:eastAsia="Arial Unicode MS"/>
          <w:sz w:val="28"/>
          <w:szCs w:val="28"/>
          <w:lang w:val="en-US"/>
        </w:rPr>
        <w:t>sberbank</w:t>
      </w:r>
      <w:proofErr w:type="spellEnd"/>
      <w:r w:rsidRPr="00DE6617">
        <w:rPr>
          <w:rStyle w:val="a3"/>
          <w:rFonts w:eastAsia="Arial Unicode MS"/>
          <w:sz w:val="28"/>
          <w:szCs w:val="28"/>
        </w:rPr>
        <w:t>-</w:t>
      </w:r>
      <w:proofErr w:type="spellStart"/>
      <w:r w:rsidRPr="00DE6617">
        <w:rPr>
          <w:rStyle w:val="a3"/>
          <w:rFonts w:eastAsia="Arial Unicode MS"/>
          <w:sz w:val="28"/>
          <w:szCs w:val="28"/>
          <w:lang w:val="en-US"/>
        </w:rPr>
        <w:t>ast</w:t>
      </w:r>
      <w:proofErr w:type="spellEnd"/>
      <w:r w:rsidRPr="00DE6617">
        <w:rPr>
          <w:rStyle w:val="a3"/>
          <w:rFonts w:eastAsia="Arial Unicode MS"/>
          <w:sz w:val="28"/>
          <w:szCs w:val="28"/>
        </w:rPr>
        <w:t>.</w:t>
      </w:r>
      <w:proofErr w:type="spellStart"/>
      <w:r w:rsidRPr="00DE6617">
        <w:rPr>
          <w:rStyle w:val="a3"/>
          <w:rFonts w:eastAsia="Arial Unicode MS"/>
          <w:sz w:val="28"/>
          <w:szCs w:val="28"/>
        </w:rPr>
        <w:t>ru</w:t>
      </w:r>
      <w:proofErr w:type="spellEnd"/>
      <w:r w:rsidRPr="00DE6617">
        <w:rPr>
          <w:rStyle w:val="10"/>
          <w:rFonts w:eastAsia="Arial Unicode MS"/>
          <w:sz w:val="28"/>
          <w:szCs w:val="28"/>
        </w:rPr>
        <w:t>.</w:t>
      </w:r>
      <w:r w:rsidRPr="00DE6617">
        <w:rPr>
          <w:sz w:val="28"/>
          <w:szCs w:val="28"/>
        </w:rPr>
        <w:t xml:space="preserve"> Дата проведения открытого аукциона в электронной форме указана в п.18 информационной карты документации об открытом аукционе в электронной форме.</w:t>
      </w:r>
    </w:p>
    <w:p w:rsidR="00D55A4D" w:rsidRPr="00DE6617" w:rsidRDefault="00D55A4D" w:rsidP="00D55A4D">
      <w:pPr>
        <w:ind w:firstLine="720"/>
        <w:jc w:val="both"/>
        <w:rPr>
          <w:sz w:val="28"/>
          <w:szCs w:val="28"/>
        </w:rPr>
      </w:pPr>
      <w:r w:rsidRPr="00DE6617">
        <w:rPr>
          <w:bCs/>
          <w:sz w:val="28"/>
          <w:szCs w:val="28"/>
        </w:rPr>
        <w:t xml:space="preserve">Время начала проведения открытого аукциона устанавливается оператором электронной торговой  площадки. </w:t>
      </w:r>
    </w:p>
    <w:p w:rsidR="00D55A4D" w:rsidRPr="00DE6617" w:rsidRDefault="00D55A4D" w:rsidP="00D55A4D">
      <w:pPr>
        <w:rPr>
          <w:sz w:val="28"/>
          <w:szCs w:val="28"/>
        </w:rPr>
      </w:pPr>
      <w:r w:rsidRPr="00DE6617">
        <w:rPr>
          <w:sz w:val="28"/>
          <w:szCs w:val="28"/>
        </w:rPr>
        <w:t xml:space="preserve">                                        </w:t>
      </w:r>
    </w:p>
    <w:p w:rsidR="00D55A4D" w:rsidRDefault="00D55A4D" w:rsidP="00D55A4D">
      <w:pPr>
        <w:jc w:val="center"/>
        <w:rPr>
          <w:b/>
          <w:sz w:val="28"/>
          <w:szCs w:val="28"/>
        </w:rPr>
      </w:pPr>
      <w:r w:rsidRPr="00DE6617">
        <w:rPr>
          <w:b/>
          <w:sz w:val="28"/>
          <w:szCs w:val="28"/>
        </w:rPr>
        <w:t>6. Источник финансирования заказа</w:t>
      </w:r>
    </w:p>
    <w:p w:rsidR="004F3405" w:rsidRPr="00DE6617" w:rsidRDefault="004F3405" w:rsidP="00D55A4D">
      <w:pPr>
        <w:jc w:val="center"/>
        <w:rPr>
          <w:b/>
          <w:sz w:val="28"/>
          <w:szCs w:val="28"/>
        </w:rPr>
      </w:pPr>
    </w:p>
    <w:p w:rsidR="00D55A4D" w:rsidRPr="00DE6617" w:rsidRDefault="00D55A4D" w:rsidP="00D55A4D">
      <w:pPr>
        <w:jc w:val="both"/>
        <w:rPr>
          <w:sz w:val="28"/>
          <w:szCs w:val="28"/>
        </w:rPr>
      </w:pPr>
      <w:r w:rsidRPr="00DE6617">
        <w:rPr>
          <w:sz w:val="28"/>
          <w:szCs w:val="28"/>
        </w:rPr>
        <w:t xml:space="preserve">         Источник финансирования заказа указан в п. 5 информационной карты документации об открытом аукционе в электронной форме</w:t>
      </w:r>
    </w:p>
    <w:p w:rsidR="00D55A4D" w:rsidRPr="00DE6617" w:rsidRDefault="00D55A4D" w:rsidP="00D55A4D">
      <w:pPr>
        <w:rPr>
          <w:sz w:val="28"/>
          <w:szCs w:val="28"/>
        </w:rPr>
      </w:pPr>
    </w:p>
    <w:p w:rsidR="004F3405" w:rsidRDefault="00D55A4D" w:rsidP="00D55A4D">
      <w:pPr>
        <w:jc w:val="center"/>
        <w:rPr>
          <w:b/>
          <w:sz w:val="28"/>
          <w:szCs w:val="28"/>
        </w:rPr>
      </w:pPr>
      <w:r w:rsidRPr="00DE6617">
        <w:rPr>
          <w:b/>
          <w:sz w:val="28"/>
          <w:szCs w:val="28"/>
        </w:rPr>
        <w:t xml:space="preserve">7. Порядок формирования цены контракта </w:t>
      </w:r>
    </w:p>
    <w:p w:rsidR="004F3405" w:rsidRPr="00DE6617" w:rsidRDefault="004F3405" w:rsidP="00D55A4D">
      <w:pPr>
        <w:jc w:val="center"/>
        <w:rPr>
          <w:b/>
          <w:sz w:val="28"/>
          <w:szCs w:val="28"/>
        </w:rPr>
      </w:pPr>
    </w:p>
    <w:p w:rsidR="00D55A4D" w:rsidRPr="00DE6617" w:rsidRDefault="00D55A4D" w:rsidP="00D55A4D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6617">
        <w:rPr>
          <w:rFonts w:ascii="Times New Roman" w:hAnsi="Times New Roman" w:cs="Times New Roman"/>
          <w:sz w:val="28"/>
          <w:szCs w:val="28"/>
        </w:rPr>
        <w:t>7.1. Цена муниципального контр</w:t>
      </w:r>
      <w:r w:rsidR="004F3405">
        <w:rPr>
          <w:rFonts w:ascii="Times New Roman" w:hAnsi="Times New Roman" w:cs="Times New Roman"/>
          <w:sz w:val="28"/>
          <w:szCs w:val="28"/>
        </w:rPr>
        <w:t xml:space="preserve">акта </w:t>
      </w:r>
      <w:r w:rsidRPr="00DE6617">
        <w:rPr>
          <w:rFonts w:ascii="Times New Roman" w:hAnsi="Times New Roman" w:cs="Times New Roman"/>
          <w:sz w:val="28"/>
          <w:szCs w:val="28"/>
        </w:rPr>
        <w:t xml:space="preserve">устанавливается по результатам аукциона в электронной форме, является твердой и не может изменяться в ходе его исполнения, за исключением случаев, предусмотренных действующим законодательством РФ. </w:t>
      </w:r>
    </w:p>
    <w:p w:rsidR="00D55A4D" w:rsidRPr="00DE6617" w:rsidRDefault="00D55A4D" w:rsidP="00D55A4D">
      <w:pPr>
        <w:ind w:firstLine="540"/>
        <w:jc w:val="both"/>
        <w:rPr>
          <w:sz w:val="28"/>
          <w:szCs w:val="28"/>
        </w:rPr>
      </w:pPr>
      <w:r w:rsidRPr="00DE6617">
        <w:rPr>
          <w:sz w:val="28"/>
          <w:szCs w:val="28"/>
        </w:rPr>
        <w:lastRenderedPageBreak/>
        <w:t>7.2. Порядок формирования цены контракта указан в п.13 информационной карты документации об открытом аукционе в электронной форме.</w:t>
      </w:r>
    </w:p>
    <w:p w:rsidR="00D55A4D" w:rsidRDefault="004F3405" w:rsidP="00D55A4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8. Начальная</w:t>
      </w:r>
      <w:r w:rsidR="00D55A4D" w:rsidRPr="00DE6617">
        <w:rPr>
          <w:b/>
          <w:sz w:val="28"/>
          <w:szCs w:val="28"/>
        </w:rPr>
        <w:t xml:space="preserve"> (</w:t>
      </w:r>
      <w:r>
        <w:rPr>
          <w:b/>
          <w:sz w:val="28"/>
          <w:szCs w:val="28"/>
        </w:rPr>
        <w:t>максимальная) цена контракта</w:t>
      </w:r>
    </w:p>
    <w:p w:rsidR="004F3405" w:rsidRPr="00DE6617" w:rsidRDefault="004F3405" w:rsidP="00D55A4D">
      <w:pPr>
        <w:jc w:val="center"/>
        <w:rPr>
          <w:b/>
          <w:sz w:val="28"/>
          <w:szCs w:val="28"/>
        </w:rPr>
      </w:pPr>
    </w:p>
    <w:p w:rsidR="00D55A4D" w:rsidRPr="00DE6617" w:rsidRDefault="00D55A4D" w:rsidP="00D55A4D">
      <w:pPr>
        <w:ind w:firstLine="540"/>
        <w:jc w:val="both"/>
        <w:rPr>
          <w:sz w:val="28"/>
          <w:szCs w:val="28"/>
        </w:rPr>
      </w:pPr>
      <w:r w:rsidRPr="00DE6617">
        <w:rPr>
          <w:sz w:val="28"/>
          <w:szCs w:val="28"/>
        </w:rPr>
        <w:t>Н</w:t>
      </w:r>
      <w:r w:rsidR="004F3405">
        <w:rPr>
          <w:sz w:val="28"/>
          <w:szCs w:val="28"/>
        </w:rPr>
        <w:t>ачальная (максимальная) цена</w:t>
      </w:r>
      <w:r w:rsidRPr="00DE6617">
        <w:rPr>
          <w:sz w:val="28"/>
          <w:szCs w:val="28"/>
        </w:rPr>
        <w:t xml:space="preserve"> контракта</w:t>
      </w:r>
      <w:r w:rsidRPr="00DE6617">
        <w:rPr>
          <w:b/>
          <w:color w:val="0000FF"/>
          <w:sz w:val="28"/>
          <w:szCs w:val="28"/>
        </w:rPr>
        <w:t xml:space="preserve"> </w:t>
      </w:r>
      <w:r w:rsidRPr="00DE6617">
        <w:rPr>
          <w:sz w:val="28"/>
          <w:szCs w:val="28"/>
        </w:rPr>
        <w:t>аукциона в электронной форме указана в п.7 информационной карты документации об открытом аукционе в электронной форме.</w:t>
      </w:r>
    </w:p>
    <w:p w:rsidR="00D55A4D" w:rsidRPr="00DE6617" w:rsidRDefault="00D55A4D" w:rsidP="00D55A4D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i/>
          <w:sz w:val="28"/>
          <w:szCs w:val="28"/>
        </w:rPr>
      </w:pPr>
    </w:p>
    <w:p w:rsidR="00D55A4D" w:rsidRDefault="00D55A4D" w:rsidP="00D55A4D">
      <w:pPr>
        <w:jc w:val="center"/>
        <w:rPr>
          <w:b/>
          <w:sz w:val="28"/>
          <w:szCs w:val="28"/>
        </w:rPr>
      </w:pPr>
      <w:r w:rsidRPr="00DE6617">
        <w:rPr>
          <w:b/>
          <w:sz w:val="28"/>
          <w:szCs w:val="28"/>
        </w:rPr>
        <w:t>9. Сведения о валюте, используемой для формирования цены контракта и расчетов с поставщиками (исполнителями, подрядчиками)</w:t>
      </w:r>
    </w:p>
    <w:p w:rsidR="004F3405" w:rsidRPr="00DE6617" w:rsidRDefault="004F3405" w:rsidP="00D55A4D">
      <w:pPr>
        <w:jc w:val="center"/>
        <w:rPr>
          <w:b/>
          <w:sz w:val="28"/>
          <w:szCs w:val="28"/>
        </w:rPr>
      </w:pPr>
    </w:p>
    <w:p w:rsidR="00D55A4D" w:rsidRPr="00DE6617" w:rsidRDefault="00D55A4D" w:rsidP="004F3405">
      <w:pPr>
        <w:jc w:val="both"/>
        <w:rPr>
          <w:sz w:val="28"/>
          <w:szCs w:val="28"/>
        </w:rPr>
      </w:pPr>
      <w:r w:rsidRPr="00DE6617">
        <w:rPr>
          <w:sz w:val="28"/>
          <w:szCs w:val="28"/>
        </w:rPr>
        <w:t xml:space="preserve">        Валюта, используемая для формирования цены  и расчетов с по</w:t>
      </w:r>
      <w:r w:rsidR="004F3405">
        <w:rPr>
          <w:sz w:val="28"/>
          <w:szCs w:val="28"/>
        </w:rPr>
        <w:t xml:space="preserve">ставщиками - </w:t>
      </w:r>
      <w:r w:rsidRPr="00DE6617">
        <w:rPr>
          <w:sz w:val="28"/>
          <w:szCs w:val="28"/>
        </w:rPr>
        <w:t>рубль Российской Федерации.</w:t>
      </w:r>
    </w:p>
    <w:p w:rsidR="00D55A4D" w:rsidRPr="00DE6617" w:rsidRDefault="00D55A4D" w:rsidP="00D55A4D">
      <w:pPr>
        <w:jc w:val="center"/>
        <w:rPr>
          <w:b/>
          <w:sz w:val="28"/>
          <w:szCs w:val="28"/>
        </w:rPr>
      </w:pPr>
    </w:p>
    <w:p w:rsidR="00D55A4D" w:rsidRDefault="00D55A4D" w:rsidP="00D55A4D">
      <w:pPr>
        <w:jc w:val="center"/>
        <w:rPr>
          <w:b/>
          <w:sz w:val="28"/>
          <w:szCs w:val="28"/>
        </w:rPr>
      </w:pPr>
      <w:r w:rsidRPr="00DE6617">
        <w:rPr>
          <w:b/>
          <w:sz w:val="28"/>
          <w:szCs w:val="28"/>
        </w:rPr>
        <w:t xml:space="preserve">10. Размер  обеспечения   исполнения  муниципального контракта, срок и порядок его  предоставления </w:t>
      </w:r>
    </w:p>
    <w:p w:rsidR="004F3405" w:rsidRPr="00DE6617" w:rsidRDefault="004F3405" w:rsidP="00D55A4D">
      <w:pPr>
        <w:jc w:val="center"/>
        <w:rPr>
          <w:b/>
          <w:sz w:val="28"/>
          <w:szCs w:val="28"/>
        </w:rPr>
      </w:pPr>
    </w:p>
    <w:p w:rsidR="00A9044A" w:rsidRPr="0011713F" w:rsidRDefault="001F0C01" w:rsidP="00A9044A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установлено.</w:t>
      </w:r>
    </w:p>
    <w:p w:rsidR="00D55A4D" w:rsidRPr="00DE6617" w:rsidRDefault="00D55A4D" w:rsidP="00D55A4D">
      <w:pPr>
        <w:jc w:val="center"/>
        <w:rPr>
          <w:b/>
          <w:sz w:val="28"/>
          <w:szCs w:val="28"/>
          <w:highlight w:val="red"/>
        </w:rPr>
      </w:pPr>
    </w:p>
    <w:p w:rsidR="00D55A4D" w:rsidRPr="00DE6617" w:rsidRDefault="00D55A4D" w:rsidP="00D55A4D">
      <w:pPr>
        <w:ind w:firstLine="360"/>
        <w:jc w:val="both"/>
        <w:rPr>
          <w:sz w:val="28"/>
          <w:szCs w:val="28"/>
        </w:rPr>
      </w:pPr>
    </w:p>
    <w:p w:rsidR="00D55A4D" w:rsidRDefault="00D55A4D" w:rsidP="00D55A4D">
      <w:pPr>
        <w:jc w:val="center"/>
        <w:rPr>
          <w:b/>
          <w:sz w:val="28"/>
          <w:szCs w:val="28"/>
        </w:rPr>
      </w:pPr>
      <w:r w:rsidRPr="00DE6617">
        <w:rPr>
          <w:b/>
          <w:sz w:val="28"/>
          <w:szCs w:val="28"/>
        </w:rPr>
        <w:t>1</w:t>
      </w:r>
      <w:r w:rsidR="00A9044A">
        <w:rPr>
          <w:b/>
          <w:sz w:val="28"/>
          <w:szCs w:val="28"/>
        </w:rPr>
        <w:t>1</w:t>
      </w:r>
      <w:r w:rsidRPr="00DE6617">
        <w:rPr>
          <w:b/>
          <w:sz w:val="28"/>
          <w:szCs w:val="28"/>
        </w:rPr>
        <w:t>.</w:t>
      </w:r>
      <w:r w:rsidRPr="00DE6617">
        <w:rPr>
          <w:sz w:val="28"/>
          <w:szCs w:val="28"/>
        </w:rPr>
        <w:t xml:space="preserve"> </w:t>
      </w:r>
      <w:r w:rsidRPr="00DE6617">
        <w:rPr>
          <w:b/>
          <w:sz w:val="28"/>
          <w:szCs w:val="28"/>
        </w:rPr>
        <w:t>Требования к качеству, техническим характеристикам товара, требования  к  их безопасности, иные показатели</w:t>
      </w:r>
    </w:p>
    <w:p w:rsidR="00A9044A" w:rsidRPr="00DE6617" w:rsidRDefault="00A9044A" w:rsidP="00D55A4D">
      <w:pPr>
        <w:jc w:val="center"/>
        <w:rPr>
          <w:b/>
          <w:sz w:val="28"/>
          <w:szCs w:val="28"/>
        </w:rPr>
      </w:pPr>
    </w:p>
    <w:p w:rsidR="00D55A4D" w:rsidRPr="00DE6617" w:rsidRDefault="00D55A4D" w:rsidP="00D55A4D">
      <w:pPr>
        <w:ind w:firstLine="720"/>
        <w:jc w:val="both"/>
        <w:rPr>
          <w:sz w:val="28"/>
          <w:szCs w:val="28"/>
        </w:rPr>
      </w:pPr>
      <w:r w:rsidRPr="00DE6617">
        <w:rPr>
          <w:sz w:val="28"/>
          <w:szCs w:val="28"/>
        </w:rPr>
        <w:t xml:space="preserve">Требования к качеству, техническим характеристикам товара, требования к  их безопасности, иные показатели изложены в Техническом задании настоящей документации об аукционе в электронной форме. </w:t>
      </w:r>
    </w:p>
    <w:p w:rsidR="00D55A4D" w:rsidRPr="00DE6617" w:rsidRDefault="00D55A4D" w:rsidP="00D55A4D">
      <w:pPr>
        <w:jc w:val="both"/>
        <w:rPr>
          <w:sz w:val="28"/>
          <w:szCs w:val="28"/>
        </w:rPr>
      </w:pPr>
    </w:p>
    <w:p w:rsidR="00D55A4D" w:rsidRPr="00DE6617" w:rsidRDefault="00D55A4D" w:rsidP="00D55A4D">
      <w:pPr>
        <w:jc w:val="center"/>
        <w:rPr>
          <w:b/>
          <w:sz w:val="28"/>
          <w:szCs w:val="28"/>
        </w:rPr>
      </w:pPr>
      <w:r w:rsidRPr="00DE6617">
        <w:rPr>
          <w:b/>
          <w:sz w:val="28"/>
          <w:szCs w:val="28"/>
        </w:rPr>
        <w:t>1</w:t>
      </w:r>
      <w:r w:rsidR="00A9044A">
        <w:rPr>
          <w:b/>
          <w:sz w:val="28"/>
          <w:szCs w:val="28"/>
        </w:rPr>
        <w:t>2</w:t>
      </w:r>
      <w:r w:rsidRPr="00DE6617">
        <w:rPr>
          <w:b/>
          <w:sz w:val="28"/>
          <w:szCs w:val="28"/>
        </w:rPr>
        <w:t>. Перечень документов, подтверждающих соответствие товаров,  требованиям, установленным в соответствии с законодательством Российской Федерации, в случае, если в соответствии с законодательством Российской Федерации установлены требования к таким  товарам</w:t>
      </w:r>
    </w:p>
    <w:p w:rsidR="00D55A4D" w:rsidRPr="00DE6617" w:rsidRDefault="00D55A4D" w:rsidP="00D55A4D">
      <w:pPr>
        <w:jc w:val="both"/>
        <w:rPr>
          <w:sz w:val="28"/>
          <w:szCs w:val="28"/>
        </w:rPr>
      </w:pPr>
      <w:r w:rsidRPr="00DE6617">
        <w:rPr>
          <w:sz w:val="28"/>
          <w:szCs w:val="28"/>
        </w:rPr>
        <w:t xml:space="preserve"> </w:t>
      </w:r>
    </w:p>
    <w:p w:rsidR="00D55A4D" w:rsidRPr="00DE6617" w:rsidRDefault="00D55A4D" w:rsidP="00D55A4D">
      <w:pPr>
        <w:jc w:val="both"/>
        <w:rPr>
          <w:sz w:val="28"/>
          <w:szCs w:val="28"/>
        </w:rPr>
      </w:pPr>
      <w:r w:rsidRPr="00DE6617">
        <w:rPr>
          <w:sz w:val="28"/>
          <w:szCs w:val="28"/>
        </w:rPr>
        <w:t xml:space="preserve">      Требование не установлено.</w:t>
      </w:r>
    </w:p>
    <w:p w:rsidR="00D55A4D" w:rsidRPr="00DE6617" w:rsidRDefault="00D55A4D" w:rsidP="00D55A4D">
      <w:pPr>
        <w:shd w:val="clear" w:color="auto" w:fill="FFFFFF"/>
        <w:jc w:val="both"/>
        <w:rPr>
          <w:b/>
          <w:sz w:val="28"/>
          <w:szCs w:val="28"/>
        </w:rPr>
      </w:pPr>
    </w:p>
    <w:p w:rsidR="00D55A4D" w:rsidRPr="00DE6617" w:rsidRDefault="00D55A4D" w:rsidP="00D55A4D">
      <w:pPr>
        <w:jc w:val="center"/>
        <w:rPr>
          <w:b/>
          <w:kern w:val="24"/>
          <w:sz w:val="28"/>
          <w:szCs w:val="28"/>
        </w:rPr>
      </w:pPr>
      <w:r w:rsidRPr="00DE6617">
        <w:rPr>
          <w:b/>
          <w:kern w:val="24"/>
          <w:sz w:val="28"/>
          <w:szCs w:val="28"/>
        </w:rPr>
        <w:t>1</w:t>
      </w:r>
      <w:r w:rsidR="00A9044A">
        <w:rPr>
          <w:b/>
          <w:kern w:val="24"/>
          <w:sz w:val="28"/>
          <w:szCs w:val="28"/>
        </w:rPr>
        <w:t>3</w:t>
      </w:r>
      <w:r w:rsidRPr="00DE6617">
        <w:rPr>
          <w:b/>
          <w:kern w:val="24"/>
          <w:sz w:val="28"/>
          <w:szCs w:val="28"/>
        </w:rPr>
        <w:t>. Требования  к  сроку  и  (или)  объему  предоставления   гарантий</w:t>
      </w:r>
    </w:p>
    <w:p w:rsidR="00D55A4D" w:rsidRDefault="00D55A4D" w:rsidP="00D55A4D">
      <w:pPr>
        <w:jc w:val="center"/>
        <w:rPr>
          <w:b/>
          <w:kern w:val="24"/>
          <w:sz w:val="28"/>
          <w:szCs w:val="28"/>
        </w:rPr>
      </w:pPr>
      <w:r w:rsidRPr="00DE6617">
        <w:rPr>
          <w:b/>
          <w:kern w:val="24"/>
          <w:sz w:val="28"/>
          <w:szCs w:val="28"/>
        </w:rPr>
        <w:t>качества товара</w:t>
      </w:r>
    </w:p>
    <w:p w:rsidR="00A9044A" w:rsidRPr="00DE6617" w:rsidRDefault="00A9044A" w:rsidP="00D55A4D">
      <w:pPr>
        <w:jc w:val="center"/>
        <w:rPr>
          <w:b/>
          <w:kern w:val="24"/>
          <w:sz w:val="28"/>
          <w:szCs w:val="28"/>
        </w:rPr>
      </w:pPr>
    </w:p>
    <w:p w:rsidR="00D55A4D" w:rsidRPr="00DE6617" w:rsidRDefault="00D55A4D" w:rsidP="00D55A4D">
      <w:pPr>
        <w:jc w:val="both"/>
        <w:rPr>
          <w:color w:val="000000"/>
          <w:sz w:val="28"/>
          <w:szCs w:val="28"/>
        </w:rPr>
      </w:pPr>
      <w:r w:rsidRPr="00DE6617">
        <w:rPr>
          <w:sz w:val="28"/>
          <w:szCs w:val="28"/>
        </w:rPr>
        <w:t xml:space="preserve">          1</w:t>
      </w:r>
      <w:r w:rsidR="00A9044A">
        <w:rPr>
          <w:sz w:val="28"/>
          <w:szCs w:val="28"/>
        </w:rPr>
        <w:t>3</w:t>
      </w:r>
      <w:r w:rsidRPr="00DE6617">
        <w:rPr>
          <w:sz w:val="28"/>
          <w:szCs w:val="28"/>
        </w:rPr>
        <w:t xml:space="preserve">.1. </w:t>
      </w:r>
      <w:r w:rsidRPr="00DE6617">
        <w:rPr>
          <w:color w:val="000000"/>
          <w:sz w:val="28"/>
          <w:szCs w:val="28"/>
        </w:rPr>
        <w:t>Требования  к  сроку  и  (или)  объему  предоставления   гарантий</w:t>
      </w:r>
    </w:p>
    <w:p w:rsidR="00D55A4D" w:rsidRPr="00DE6617" w:rsidRDefault="00D55A4D" w:rsidP="00D55A4D">
      <w:pPr>
        <w:jc w:val="both"/>
        <w:rPr>
          <w:color w:val="000000"/>
          <w:sz w:val="28"/>
          <w:szCs w:val="28"/>
        </w:rPr>
      </w:pPr>
      <w:r w:rsidRPr="00DE6617">
        <w:rPr>
          <w:color w:val="000000"/>
          <w:sz w:val="28"/>
          <w:szCs w:val="28"/>
        </w:rPr>
        <w:t>качества товара</w:t>
      </w:r>
      <w:r w:rsidRPr="00DE6617">
        <w:rPr>
          <w:sz w:val="28"/>
          <w:szCs w:val="28"/>
        </w:rPr>
        <w:t xml:space="preserve">  </w:t>
      </w:r>
      <w:r w:rsidRPr="00DE6617">
        <w:rPr>
          <w:color w:val="000000"/>
          <w:sz w:val="28"/>
          <w:szCs w:val="28"/>
        </w:rPr>
        <w:t xml:space="preserve">приведены  </w:t>
      </w:r>
      <w:r w:rsidRPr="00DE6617">
        <w:rPr>
          <w:sz w:val="28"/>
          <w:szCs w:val="28"/>
        </w:rPr>
        <w:t>в п.11 информационной карты документации об открытом аукционе в электронной форме.</w:t>
      </w:r>
    </w:p>
    <w:p w:rsidR="00D55A4D" w:rsidRPr="00DE6617" w:rsidRDefault="00D55A4D" w:rsidP="00D55A4D">
      <w:pPr>
        <w:shd w:val="clear" w:color="auto" w:fill="FFFFFF"/>
        <w:tabs>
          <w:tab w:val="left" w:leader="underscore" w:pos="8726"/>
        </w:tabs>
        <w:jc w:val="both"/>
        <w:rPr>
          <w:rFonts w:eastAsia="DejaVu Sans"/>
          <w:bCs/>
          <w:sz w:val="28"/>
          <w:szCs w:val="28"/>
        </w:rPr>
      </w:pPr>
    </w:p>
    <w:p w:rsidR="00A9044A" w:rsidRDefault="00D55A4D" w:rsidP="00D55A4D">
      <w:pPr>
        <w:shd w:val="clear" w:color="auto" w:fill="FFFFFF"/>
        <w:tabs>
          <w:tab w:val="left" w:leader="underscore" w:pos="8726"/>
        </w:tabs>
        <w:jc w:val="center"/>
        <w:rPr>
          <w:b/>
          <w:sz w:val="28"/>
          <w:szCs w:val="28"/>
        </w:rPr>
      </w:pPr>
      <w:r w:rsidRPr="00DE6617">
        <w:rPr>
          <w:b/>
          <w:sz w:val="28"/>
          <w:szCs w:val="28"/>
        </w:rPr>
        <w:t>1</w:t>
      </w:r>
      <w:r w:rsidR="00A9044A">
        <w:rPr>
          <w:b/>
          <w:sz w:val="28"/>
          <w:szCs w:val="28"/>
        </w:rPr>
        <w:t>4</w:t>
      </w:r>
      <w:r w:rsidRPr="00DE6617">
        <w:rPr>
          <w:b/>
          <w:sz w:val="28"/>
          <w:szCs w:val="28"/>
        </w:rPr>
        <w:t xml:space="preserve">. Место, условия и сроки  поставки товаров </w:t>
      </w:r>
    </w:p>
    <w:p w:rsidR="00D55A4D" w:rsidRPr="00DE6617" w:rsidRDefault="00D55A4D" w:rsidP="00D55A4D">
      <w:pPr>
        <w:shd w:val="clear" w:color="auto" w:fill="FFFFFF"/>
        <w:tabs>
          <w:tab w:val="left" w:leader="underscore" w:pos="8726"/>
        </w:tabs>
        <w:jc w:val="center"/>
        <w:rPr>
          <w:b/>
          <w:sz w:val="28"/>
          <w:szCs w:val="28"/>
        </w:rPr>
      </w:pPr>
    </w:p>
    <w:p w:rsidR="00D55A4D" w:rsidRPr="00DE6617" w:rsidRDefault="00D55A4D" w:rsidP="00D55A4D">
      <w:pPr>
        <w:shd w:val="clear" w:color="auto" w:fill="FFFFFF"/>
        <w:tabs>
          <w:tab w:val="left" w:leader="underscore" w:pos="8726"/>
        </w:tabs>
        <w:jc w:val="both"/>
        <w:rPr>
          <w:sz w:val="28"/>
          <w:szCs w:val="28"/>
        </w:rPr>
      </w:pPr>
      <w:r w:rsidRPr="00DE6617">
        <w:rPr>
          <w:sz w:val="28"/>
          <w:szCs w:val="28"/>
        </w:rPr>
        <w:lastRenderedPageBreak/>
        <w:t xml:space="preserve">         1</w:t>
      </w:r>
      <w:r w:rsidR="00A9044A">
        <w:rPr>
          <w:sz w:val="28"/>
          <w:szCs w:val="28"/>
        </w:rPr>
        <w:t>4</w:t>
      </w:r>
      <w:r w:rsidRPr="00DE6617">
        <w:rPr>
          <w:sz w:val="28"/>
          <w:szCs w:val="28"/>
        </w:rPr>
        <w:t>.1. Место и сроки поставки товаров указаны в п. 8 и п. 9  информационной карты документации об открытом аукционе в электронной форме.</w:t>
      </w:r>
    </w:p>
    <w:p w:rsidR="00D55A4D" w:rsidRPr="00DE6617" w:rsidRDefault="00D55A4D" w:rsidP="00D55A4D">
      <w:pPr>
        <w:jc w:val="both"/>
        <w:rPr>
          <w:sz w:val="28"/>
          <w:szCs w:val="28"/>
        </w:rPr>
      </w:pPr>
      <w:r w:rsidRPr="00DE6617">
        <w:rPr>
          <w:sz w:val="28"/>
          <w:szCs w:val="28"/>
        </w:rPr>
        <w:t xml:space="preserve"> </w:t>
      </w:r>
      <w:r w:rsidR="00A9044A">
        <w:rPr>
          <w:sz w:val="28"/>
          <w:szCs w:val="28"/>
        </w:rPr>
        <w:t xml:space="preserve">        14</w:t>
      </w:r>
      <w:r w:rsidRPr="00DE6617">
        <w:rPr>
          <w:sz w:val="28"/>
          <w:szCs w:val="28"/>
        </w:rPr>
        <w:t>.2. Условия поставки товаров указаны в п. 10  информационной карты документации об открытом аукционе в электронной форме и в документации об аукционе.</w:t>
      </w:r>
    </w:p>
    <w:p w:rsidR="00D55A4D" w:rsidRPr="00DE6617" w:rsidRDefault="00D55A4D" w:rsidP="00D55A4D">
      <w:pPr>
        <w:jc w:val="center"/>
        <w:rPr>
          <w:b/>
          <w:sz w:val="28"/>
          <w:szCs w:val="28"/>
        </w:rPr>
      </w:pPr>
    </w:p>
    <w:p w:rsidR="00D55A4D" w:rsidRPr="00DE6617" w:rsidRDefault="00D55A4D" w:rsidP="00D55A4D">
      <w:pPr>
        <w:jc w:val="center"/>
        <w:rPr>
          <w:b/>
          <w:sz w:val="28"/>
          <w:szCs w:val="28"/>
        </w:rPr>
      </w:pPr>
    </w:p>
    <w:p w:rsidR="00D55A4D" w:rsidRDefault="00D55A4D" w:rsidP="00D55A4D">
      <w:pPr>
        <w:jc w:val="center"/>
        <w:rPr>
          <w:b/>
          <w:sz w:val="28"/>
          <w:szCs w:val="28"/>
        </w:rPr>
      </w:pPr>
      <w:r w:rsidRPr="00DE6617">
        <w:rPr>
          <w:b/>
          <w:sz w:val="28"/>
          <w:szCs w:val="28"/>
        </w:rPr>
        <w:t>1</w:t>
      </w:r>
      <w:r w:rsidR="00A9044A">
        <w:rPr>
          <w:b/>
          <w:sz w:val="28"/>
          <w:szCs w:val="28"/>
        </w:rPr>
        <w:t>5</w:t>
      </w:r>
      <w:r w:rsidRPr="00DE6617">
        <w:rPr>
          <w:b/>
          <w:sz w:val="28"/>
          <w:szCs w:val="28"/>
        </w:rPr>
        <w:t>. Форма, сроки и порядок оплаты товара</w:t>
      </w:r>
    </w:p>
    <w:p w:rsidR="00A9044A" w:rsidRPr="00DE6617" w:rsidRDefault="00A9044A" w:rsidP="00D55A4D">
      <w:pPr>
        <w:jc w:val="center"/>
        <w:rPr>
          <w:b/>
          <w:sz w:val="28"/>
          <w:szCs w:val="28"/>
        </w:rPr>
      </w:pPr>
    </w:p>
    <w:p w:rsidR="00D55A4D" w:rsidRPr="00DE6617" w:rsidRDefault="00D55A4D" w:rsidP="00D55A4D">
      <w:pPr>
        <w:jc w:val="both"/>
        <w:rPr>
          <w:sz w:val="28"/>
          <w:szCs w:val="28"/>
        </w:rPr>
      </w:pPr>
      <w:r w:rsidRPr="00DE6617">
        <w:rPr>
          <w:sz w:val="28"/>
          <w:szCs w:val="28"/>
        </w:rPr>
        <w:t xml:space="preserve">         Форма, сроки и порядок оплаты товара указаны</w:t>
      </w:r>
      <w:r w:rsidRPr="00DE6617">
        <w:rPr>
          <w:b/>
          <w:sz w:val="28"/>
          <w:szCs w:val="28"/>
        </w:rPr>
        <w:t xml:space="preserve"> </w:t>
      </w:r>
      <w:r w:rsidRPr="00DE6617">
        <w:rPr>
          <w:sz w:val="28"/>
          <w:szCs w:val="28"/>
        </w:rPr>
        <w:t>в п. 12 информационной карты документации об открытом аукционе в электронной форме.</w:t>
      </w:r>
    </w:p>
    <w:p w:rsidR="00D55A4D" w:rsidRPr="00DE6617" w:rsidRDefault="00D55A4D" w:rsidP="00D55A4D">
      <w:pPr>
        <w:shd w:val="clear" w:color="auto" w:fill="FFFFFF"/>
        <w:tabs>
          <w:tab w:val="left" w:pos="274"/>
          <w:tab w:val="left" w:leader="underscore" w:pos="7603"/>
        </w:tabs>
        <w:jc w:val="both"/>
        <w:rPr>
          <w:bCs/>
          <w:color w:val="33CCCC"/>
          <w:sz w:val="28"/>
          <w:szCs w:val="28"/>
        </w:rPr>
      </w:pPr>
    </w:p>
    <w:p w:rsidR="00D55A4D" w:rsidRPr="00DE6617" w:rsidRDefault="00D55A4D" w:rsidP="00D55A4D">
      <w:pPr>
        <w:jc w:val="center"/>
        <w:rPr>
          <w:bCs/>
          <w:sz w:val="28"/>
          <w:szCs w:val="28"/>
        </w:rPr>
      </w:pPr>
      <w:r w:rsidRPr="00DE6617">
        <w:rPr>
          <w:b/>
          <w:sz w:val="28"/>
          <w:szCs w:val="28"/>
        </w:rPr>
        <w:t>1</w:t>
      </w:r>
      <w:r w:rsidR="00A9044A">
        <w:rPr>
          <w:b/>
          <w:sz w:val="28"/>
          <w:szCs w:val="28"/>
        </w:rPr>
        <w:t>6</w:t>
      </w:r>
      <w:r w:rsidRPr="00DE6617">
        <w:rPr>
          <w:b/>
          <w:sz w:val="28"/>
          <w:szCs w:val="28"/>
        </w:rPr>
        <w:t>. Требования к участникам размещения заказа</w:t>
      </w:r>
    </w:p>
    <w:p w:rsidR="00D55A4D" w:rsidRPr="00DE6617" w:rsidRDefault="00D55A4D" w:rsidP="00D55A4D">
      <w:pPr>
        <w:tabs>
          <w:tab w:val="left" w:pos="540"/>
        </w:tabs>
        <w:ind w:firstLine="540"/>
        <w:jc w:val="both"/>
        <w:rPr>
          <w:bCs/>
          <w:sz w:val="28"/>
          <w:szCs w:val="28"/>
        </w:rPr>
      </w:pPr>
      <w:r w:rsidRPr="00DE6617">
        <w:rPr>
          <w:bCs/>
          <w:sz w:val="28"/>
          <w:szCs w:val="28"/>
        </w:rPr>
        <w:t>Устанавливаются следующие обязательные требования к Участникам размещения заказа:</w:t>
      </w:r>
    </w:p>
    <w:p w:rsidR="00D55A4D" w:rsidRPr="00DE6617" w:rsidRDefault="00D55A4D" w:rsidP="00D55A4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6617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DE6617">
        <w:rPr>
          <w:rFonts w:ascii="Times New Roman" w:hAnsi="Times New Roman" w:cs="Times New Roman"/>
          <w:sz w:val="28"/>
          <w:szCs w:val="28"/>
        </w:rPr>
        <w:t>Непроведение</w:t>
      </w:r>
      <w:proofErr w:type="spellEnd"/>
      <w:r w:rsidRPr="00DE6617">
        <w:rPr>
          <w:rFonts w:ascii="Times New Roman" w:hAnsi="Times New Roman" w:cs="Times New Roman"/>
          <w:sz w:val="28"/>
          <w:szCs w:val="28"/>
        </w:rPr>
        <w:t xml:space="preserve"> ликвидации участника размещения заказа - юридического лица и отсутствие решения арбитражного суда о признании участника размещения заказа - юридического лица, индивидуального предпринимателя банкротом и об открытии конкурсного производства;</w:t>
      </w:r>
    </w:p>
    <w:p w:rsidR="00D55A4D" w:rsidRPr="00DE6617" w:rsidRDefault="00D55A4D" w:rsidP="00D55A4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6617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DE6617">
        <w:rPr>
          <w:rFonts w:ascii="Times New Roman" w:hAnsi="Times New Roman" w:cs="Times New Roman"/>
          <w:sz w:val="28"/>
          <w:szCs w:val="28"/>
        </w:rPr>
        <w:t>Неприостановление</w:t>
      </w:r>
      <w:proofErr w:type="spellEnd"/>
      <w:r w:rsidRPr="00DE6617">
        <w:rPr>
          <w:rFonts w:ascii="Times New Roman" w:hAnsi="Times New Roman" w:cs="Times New Roman"/>
          <w:sz w:val="28"/>
          <w:szCs w:val="28"/>
        </w:rPr>
        <w:t xml:space="preserve"> деятельности участника размещения заказа в порядке, предусмотренном Кодексом Российской Федерации об административных правонарушениях, на день подачи заявки на участие в конкурсе или заявки на участие в аукционе;</w:t>
      </w:r>
    </w:p>
    <w:p w:rsidR="00D55A4D" w:rsidRPr="00DE6617" w:rsidRDefault="00D55A4D" w:rsidP="00D55A4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6617">
        <w:rPr>
          <w:rFonts w:ascii="Times New Roman" w:hAnsi="Times New Roman" w:cs="Times New Roman"/>
          <w:sz w:val="28"/>
          <w:szCs w:val="28"/>
        </w:rPr>
        <w:t xml:space="preserve">3. Отсутствие у участника размещения заказа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двадцать пять процентов балансовой </w:t>
      </w:r>
      <w:proofErr w:type="gramStart"/>
      <w:r w:rsidRPr="00DE6617">
        <w:rPr>
          <w:rFonts w:ascii="Times New Roman" w:hAnsi="Times New Roman" w:cs="Times New Roman"/>
          <w:sz w:val="28"/>
          <w:szCs w:val="28"/>
        </w:rPr>
        <w:t>стоимости активов участника размещения заказа</w:t>
      </w:r>
      <w:proofErr w:type="gramEnd"/>
      <w:r w:rsidRPr="00DE6617">
        <w:rPr>
          <w:rFonts w:ascii="Times New Roman" w:hAnsi="Times New Roman" w:cs="Times New Roman"/>
          <w:sz w:val="28"/>
          <w:szCs w:val="28"/>
        </w:rPr>
        <w:t xml:space="preserve"> по данным бухгалтерской отчетности за последний завершенный отчетный период. Участник размещения заказа считается соответствующим установленному требованию в случае,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конкурсе или заявки на участие в аукционе не принято.</w:t>
      </w:r>
    </w:p>
    <w:p w:rsidR="00D55A4D" w:rsidRPr="00DE6617" w:rsidRDefault="00D55A4D" w:rsidP="00D55A4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6617">
        <w:rPr>
          <w:rFonts w:ascii="Times New Roman" w:hAnsi="Times New Roman" w:cs="Times New Roman"/>
          <w:sz w:val="28"/>
          <w:szCs w:val="28"/>
        </w:rPr>
        <w:t>4. Отсутствие сведений об участнике размещения заказа в Реестре недобросовестных поставщиков.</w:t>
      </w:r>
    </w:p>
    <w:p w:rsidR="00023BCE" w:rsidRDefault="00023BCE"/>
    <w:sectPr w:rsidR="00023BCE" w:rsidSect="00023B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DejaVu Sans">
    <w:charset w:val="CC"/>
    <w:family w:val="swiss"/>
    <w:pitch w:val="variable"/>
    <w:sig w:usb0="E7003EFF" w:usb1="D200FDFF" w:usb2="00042029" w:usb3="00000000" w:csb0="8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063DC2"/>
    <w:multiLevelType w:val="hybridMultilevel"/>
    <w:tmpl w:val="CFDE33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55A4D"/>
    <w:rsid w:val="00023BCE"/>
    <w:rsid w:val="001E0EB7"/>
    <w:rsid w:val="001F0C01"/>
    <w:rsid w:val="00416737"/>
    <w:rsid w:val="004F3405"/>
    <w:rsid w:val="00857D21"/>
    <w:rsid w:val="00873941"/>
    <w:rsid w:val="00A358F8"/>
    <w:rsid w:val="00A9044A"/>
    <w:rsid w:val="00D55A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5A4D"/>
    <w:pPr>
      <w:jc w:val="left"/>
    </w:pPr>
    <w:rPr>
      <w:rFonts w:eastAsia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55A4D"/>
    <w:pPr>
      <w:keepNext/>
      <w:outlineLvl w:val="0"/>
    </w:pPr>
    <w:rPr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55A4D"/>
    <w:rPr>
      <w:rFonts w:eastAsia="Times New Roman" w:cs="Times New Roman"/>
      <w:sz w:val="48"/>
      <w:szCs w:val="20"/>
      <w:lang w:eastAsia="ru-RU"/>
    </w:rPr>
  </w:style>
  <w:style w:type="paragraph" w:customStyle="1" w:styleId="ConsNormal">
    <w:name w:val="ConsNormal"/>
    <w:rsid w:val="00D55A4D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4"/>
      <w:szCs w:val="24"/>
      <w:lang w:eastAsia="ru-RU"/>
    </w:rPr>
  </w:style>
  <w:style w:type="character" w:styleId="a3">
    <w:name w:val="Hyperlink"/>
    <w:basedOn w:val="a0"/>
    <w:semiHidden/>
    <w:unhideWhenUsed/>
    <w:rsid w:val="00D55A4D"/>
    <w:rPr>
      <w:color w:val="0000FF"/>
      <w:u w:val="single"/>
    </w:rPr>
  </w:style>
  <w:style w:type="paragraph" w:styleId="2">
    <w:name w:val="Body Text 2"/>
    <w:basedOn w:val="a"/>
    <w:link w:val="20"/>
    <w:uiPriority w:val="99"/>
    <w:semiHidden/>
    <w:unhideWhenUsed/>
    <w:rsid w:val="00D55A4D"/>
    <w:pPr>
      <w:spacing w:after="120" w:line="480" w:lineRule="auto"/>
    </w:pPr>
    <w:rPr>
      <w:sz w:val="28"/>
      <w:szCs w:val="28"/>
    </w:rPr>
  </w:style>
  <w:style w:type="character" w:customStyle="1" w:styleId="20">
    <w:name w:val="Основной текст 2 Знак"/>
    <w:basedOn w:val="a0"/>
    <w:link w:val="2"/>
    <w:uiPriority w:val="99"/>
    <w:semiHidden/>
    <w:rsid w:val="00D55A4D"/>
    <w:rPr>
      <w:rFonts w:eastAsia="Times New Roman" w:cs="Times New Roman"/>
      <w:szCs w:val="28"/>
      <w:lang w:eastAsia="ru-RU"/>
    </w:rPr>
  </w:style>
  <w:style w:type="paragraph" w:customStyle="1" w:styleId="21">
    <w:name w:val="Основной текст с отступом 21"/>
    <w:basedOn w:val="a"/>
    <w:rsid w:val="00D55A4D"/>
    <w:pPr>
      <w:suppressAutoHyphens/>
      <w:ind w:firstLine="360"/>
    </w:pPr>
    <w:rPr>
      <w:sz w:val="28"/>
      <w:lang w:eastAsia="ar-SA"/>
    </w:rPr>
  </w:style>
  <w:style w:type="paragraph" w:customStyle="1" w:styleId="ConsPlusNormal">
    <w:name w:val="ConsPlusNormal"/>
    <w:rsid w:val="00D55A4D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3">
    <w:name w:val="Стиль3 Знак Знак"/>
    <w:basedOn w:val="a"/>
    <w:rsid w:val="00D55A4D"/>
    <w:pPr>
      <w:widowControl w:val="0"/>
      <w:tabs>
        <w:tab w:val="num" w:pos="227"/>
      </w:tabs>
      <w:adjustRightInd w:val="0"/>
      <w:jc w:val="both"/>
    </w:pPr>
    <w:rPr>
      <w:szCs w:val="20"/>
    </w:rPr>
  </w:style>
  <w:style w:type="paragraph" w:customStyle="1" w:styleId="210">
    <w:name w:val="Основной текст 21"/>
    <w:basedOn w:val="a"/>
    <w:rsid w:val="00D55A4D"/>
    <w:pPr>
      <w:widowControl w:val="0"/>
      <w:suppressAutoHyphens/>
      <w:jc w:val="both"/>
    </w:pPr>
    <w:rPr>
      <w:rFonts w:cs="Arial"/>
      <w:szCs w:val="18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4F340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F340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A9044A"/>
    <w:pPr>
      <w:widowControl w:val="0"/>
      <w:autoSpaceDE w:val="0"/>
      <w:autoSpaceDN w:val="0"/>
      <w:adjustRightInd w:val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31">
    <w:name w:val="Основной текст 31"/>
    <w:basedOn w:val="a"/>
    <w:rsid w:val="00A9044A"/>
    <w:pPr>
      <w:suppressAutoHyphens/>
      <w:spacing w:after="120"/>
    </w:pPr>
    <w:rPr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2E1D39-1288-4FA4-9319-F8FD164619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5</Pages>
  <Words>1558</Words>
  <Characters>8887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Александровна</dc:creator>
  <cp:keywords/>
  <dc:description/>
  <cp:lastModifiedBy>Надежда Александровна</cp:lastModifiedBy>
  <cp:revision>4</cp:revision>
  <cp:lastPrinted>2011-08-25T08:51:00Z</cp:lastPrinted>
  <dcterms:created xsi:type="dcterms:W3CDTF">2011-08-25T08:36:00Z</dcterms:created>
  <dcterms:modified xsi:type="dcterms:W3CDTF">2011-11-21T11:46:00Z</dcterms:modified>
</cp:coreProperties>
</file>